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600"/>
        <w:jc w:val="center"/>
      </w:pPr>
      <w:r>
        <w:rPr>
          <w:rFonts w:ascii="Arial" w:cs="Arial" w:eastAsia="Arial" w:hAnsi="Arial"/>
          <w:b/>
          <w:bCs/>
          <w:color w:val="4F46E5"/>
          <w:sz w:val="72"/>
          <w:szCs w:val="72"/>
        </w:rPr>
        <w:t xml:space="preserve">TeamUp.AI</w:t>
      </w:r>
    </w:p>
    <w:p>
      <w:pPr>
        <w:spacing w:after="240"/>
        <w:jc w:val="center"/>
      </w:pPr>
      <w:r>
        <w:rPr>
          <w:b/>
          <w:bCs/>
          <w:sz w:val="40"/>
          <w:szCs w:val="40"/>
        </w:rPr>
        <w:t xml:space="preserve">Solution &amp; Technical Specification</w:t>
      </w:r>
    </w:p>
    <w:p>
      <w:pPr>
        <w:spacing w:after="120"/>
        <w:jc w:val="center"/>
      </w:pPr>
      <w:r>
        <w:rPr>
          <w:i/>
          <w:iCs/>
          <w:color w:val="555555"/>
          <w:sz w:val="24"/>
          <w:szCs w:val="24"/>
        </w:rPr>
        <w:t xml:space="preserve">Build human + AI teams — a live org chart that does work.</w:t>
      </w:r>
    </w:p>
    <w:p>
      <w:pPr>
        <w:spacing w:after="60"/>
        <w:jc w:val="center"/>
      </w:pPr>
      <w:r>
        <w:rPr>
          <w:color w:val="555555"/>
          <w:sz w:val="22"/>
          <w:szCs w:val="22"/>
        </w:rPr>
        <w:t xml:space="preserve">A product of AliaSaaS</w:t>
      </w:r>
    </w:p>
    <w:p>
      <w:pPr>
        <w:spacing w:after="0" w:before="1200"/>
        <w:jc w:val="center"/>
      </w:pPr>
      <w:r>
        <w:rPr>
          <w:sz w:val="22"/>
          <w:szCs w:val="22"/>
        </w:rPr>
        <w:t xml:space="preserve">Internal document — engineering &amp; stakeholders</w:t>
      </w:r>
    </w:p>
    <w:p>
      <w:pPr>
        <w:jc w:val="center"/>
      </w:pPr>
      <w:r>
        <w:rPr>
          <w:color w:val="555555"/>
          <w:sz w:val="22"/>
          <w:szCs w:val="22"/>
        </w:rPr>
        <w:t xml:space="preserve">Version 1.0 · 15 June 2026 · Status: post-V1, demo-ready</w:t>
      </w:r>
    </w:p>
    <w:p>
      <w:r>
        <w:br w:type="page"/>
      </w:r>
    </w:p>
    <w:p>
      <w:pPr>
        <w:pStyle w:val="Heading1"/>
      </w:pPr>
      <w: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1. Executive summary</w:t>
      </w:r>
    </w:p>
    <w:p>
      <w:pPr>
        <w:spacing w:after="120"/>
      </w:pPr>
      <w:r>
        <w:t xml:space="preserve">TeamUp.AI is a live org chart that does work. You model an organisation — divisions, products, teams, and the role-seats inside them — and any open seat can be filled by a governed AI agent that is equipped with skills, given documents and tools, bounded by an autonomy setting, and put to work producing real output routed to a human review queue. Humans and AI work side by side on one board, against one task model.</w:t>
      </w:r>
    </w:p>
    <w:p>
      <w:pPr>
        <w:spacing w:after="120"/>
      </w:pPr>
      <w:r>
        <w:rPr>
          <w:b/>
          <w:bCs/>
        </w:rPr>
        <w:t xml:space="preserve">The bet (what V1 exists to prove): </w:t>
      </w:r>
      <w:r>
        <w:t xml:space="preserve">“For a Product Owner and a QA role, an AI agent produces output a human accepts with little editing — saving more time than supervising it costs.” This is measured, not asserted. The primary metric is </w:t>
      </w:r>
      <w:r>
        <w:rPr>
          <w:b/>
          <w:bCs/>
        </w:rPr>
        <w:t xml:space="preserve">human edit distance</w:t>
      </w:r>
      <w:r>
        <w:t xml:space="preserve"> — how much a reviewer changes an agent’s output before approving it — instrumented from the first milestone, not bolted on at the end.</w:t>
      </w:r>
    </w:p>
    <w:p>
      <w:pPr>
        <w:spacing w:after="120"/>
      </w:pPr>
      <w:r>
        <w:t xml:space="preserve">Strategy: architect broad, build narrow, market narrow. The data model and module seams accommodate the full product (divisions, marketplace, MCP tools, a custom model), but the V1 wedge deliberately proves the two-role loop (AI Product Owner + AI QA) inside AliaSaaS’s own delivery.</w:t>
      </w:r>
    </w:p>
    <w:p>
      <w:pPr>
        <w:spacing w:after="120"/>
      </w:pPr>
      <w:r>
        <w:rPr>
          <w:b/>
          <w:bCs/>
        </w:rPr>
        <w:t xml:space="preserve">Status: </w:t>
      </w:r>
      <w:r>
        <w:t xml:space="preserve">All six V1 milestones (M1–M6) are built and meet their acceptance criteria, verified by 27 integration test suites plus architecture tests. Significant post-V1 capability has also shipped: full org structure, a dynamic per-org skill library and marketplace, MCP server compatibility, AGENTS.md agent profiles, animated live agent identity, and in-app Markdown authoring. The product is demo-ready; the remaining work is hardening (negative-path tests and a guided onboarding).</w:t>
      </w:r>
    </w:p>
    <w:p>
      <w:pPr>
        <w:pStyle w:val="Heading1"/>
      </w:pPr>
      <w:r>
        <w:t xml:space="preserve">2. Problem &amp; solution</w:t>
      </w:r>
    </w:p>
    <w:p>
      <w:pPr>
        <w:pStyle w:val="Heading2"/>
      </w:pPr>
      <w:r>
        <w:t xml:space="preserve">2.1 The problem</w:t>
      </w:r>
    </w:p>
    <w:p>
      <w:pPr>
        <w:spacing w:after="120"/>
      </w:pPr>
      <w:r>
        <w:t xml:space="preserve">Small and mid-sized software organisations rarely staff every role. Often there is no product owner, no dedicated QA, and no reviewer, so developers absorb that work and quality suffers. Existing AI tools sit inside one developer’s editor as a single assistant; they have no concept of a team, no notion of role coverage, no governance, and the work still lives in a separate tool.</w:t>
      </w:r>
    </w:p>
    <w:p>
      <w:pPr>
        <w:pStyle w:val="Heading2"/>
      </w:pPr>
      <w:r>
        <w:t xml:space="preserve">2.2 The solution</w:t>
      </w:r>
    </w:p>
    <w:p>
      <w:pPr>
        <w:spacing w:after="120"/>
      </w:pPr>
      <w:r>
        <w:t xml:space="preserve">TeamUp.AI models the organisation as a living chart and lets any open seat be staffed by an AI agent that does the role’s work — on the same board the team already uses for delivery. It is simultaneously a lightweight project-management framework: the AI Product Owner writes a spec and generates child stories as real board tasks; the AI QA picks up a finished build and drafts a test plan. Every agent action is risk-tagged and passes through an action gate before it can execute, so a human stays in control exactly where it matters.</w:t>
      </w:r>
    </w:p>
    <w:p>
      <w:pPr>
        <w:pStyle w:val="Heading1"/>
      </w:pPr>
      <w:r>
        <w:t xml:space="preserve">3. Product model</w:t>
      </w:r>
    </w:p>
    <w:p>
      <w:pPr>
        <w:pStyle w:val="Heading2"/>
      </w:pPr>
      <w:r>
        <w:t xml:space="preserve">3.1 Organisation hierarchy</w:t>
      </w:r>
    </w:p>
    <w:p>
      <w:pPr>
        <w:spacing w:after="120"/>
      </w:pPr>
      <w:r>
        <w:t xml:space="preserve">Organisation → Divisions → Products/Services → Teams → Seats. Divisions and products are optional structure; a team is the unit that runs a board. Each seat is a role on a team.</w:t>
      </w:r>
    </w:p>
    <w:p>
      <w:pPr>
        <w:pStyle w:val="Heading2"/>
      </w:pPr>
      <w:r>
        <w:t xml:space="preserve">3.2 The seat-state triad</w:t>
      </w:r>
    </w:p>
    <w:p>
      <w:pPr>
        <w:spacing w:after="120"/>
      </w:pPr>
      <w:r>
        <w:t xml:space="preserve">Every seat is in one of three load-bearing states, colour-coded throughout the product:</w:t>
      </w:r>
    </w:p>
    <w:p>
      <w:pPr>
        <w:pStyle w:val="ListParagraph"/>
        <w:numPr>
          <w:ilvl w:val="0"/>
          <w:numId w:val="2"/>
        </w:numPr>
        <w:spacing w:after="40"/>
      </w:pPr>
      <w:r>
        <w:rPr>
          <w:b/>
          <w:bCs/>
        </w:rPr>
        <w:t xml:space="preserve">Human</w:t>
      </w:r>
      <w:r>
        <w:t xml:space="preserve"> (slate) — occupied by an invited member.</w:t>
      </w:r>
    </w:p>
    <w:p>
      <w:pPr>
        <w:pStyle w:val="ListParagraph"/>
        <w:numPr>
          <w:ilvl w:val="0"/>
          <w:numId w:val="2"/>
        </w:numPr>
        <w:spacing w:after="40"/>
      </w:pPr>
      <w:r>
        <w:rPr>
          <w:b/>
          <w:bCs/>
        </w:rPr>
        <w:t xml:space="preserve">Open</w:t>
      </w:r>
      <w:r>
        <w:t xml:space="preserve"> (amber) — an unfilled role.</w:t>
      </w:r>
    </w:p>
    <w:p>
      <w:pPr>
        <w:pStyle w:val="ListParagraph"/>
        <w:numPr>
          <w:ilvl w:val="0"/>
          <w:numId w:val="2"/>
        </w:numPr>
        <w:spacing w:after="40"/>
      </w:pPr>
      <w:r>
        <w:rPr>
          <w:b/>
          <w:bCs/>
        </w:rPr>
        <w:t xml:space="preserve">AI</w:t>
      </w:r>
      <w:r>
        <w:t xml:space="preserve"> (indigo) — staffed by a configured agent.</w:t>
      </w:r>
    </w:p>
    <w:p>
      <w:pPr>
        <w:pStyle w:val="Heading2"/>
      </w:pPr>
      <w:r>
        <w:t xml:space="preserve">3.3 Agents</w:t>
      </w:r>
    </w:p>
    <w:p>
      <w:pPr>
        <w:spacing w:after="120"/>
      </w:pPr>
      <w:r>
        <w:t xml:space="preserve">An agent is the configuration of an AI seat: an identity (name, monogram, persona), a set of matched skill atoms, an autonomy setting, a BYOK model connection (with optional fallback), attached documents, and optional MCP tool servers. Agents can be created from reusable AGENTS.md profiles and given an animated identity whose expression reflects their live run state (idle, thinking, working, awaiting review, done, failed).</w:t>
      </w:r>
    </w:p>
    <w:p>
      <w:pPr>
        <w:pStyle w:val="Heading2"/>
      </w:pPr>
      <w:r>
        <w:t xml:space="preserve">3.4 The board and one task model</w:t>
      </w:r>
    </w:p>
    <w:p>
      <w:pPr>
        <w:spacing w:after="120"/>
      </w:pPr>
      <w:r>
        <w:t xml:space="preserve">Work flows across four columns: Backlog → In Progress → In Review → Done. Humans and AI share a single task model — a task’s assignee is simply a member or an agent. Tasks carry a type, status, parent, and provenance. Each person sees a personal cartable (their pending-work inbox); owners additionally see an Approvals section (the review inbox).</w:t>
      </w:r>
    </w:p>
    <w:p>
      <w:pPr>
        <w:pStyle w:val="Heading2"/>
      </w:pPr>
      <w:r>
        <w:t xml:space="preserve">3.5 Governance</w:t>
      </w:r>
    </w:p>
    <w:p>
      <w:pPr>
        <w:spacing w:after="120"/>
      </w:pPr>
      <w:r>
        <w:t xml:space="preserve">Risk lives on the action (read / draft / publish / destructive), not on the agent. The autonomy dial (draft-only / gated / autonomous) decides whether an action executes immediately or waits in the review inbox. Destructive actions always wait for a human, whatever the autonomy. The reviewer can approve, edit-and-approve, or send back; edit-and-approve records the human edit distance.</w:t>
      </w:r>
    </w:p>
    <w:p>
      <w:pPr>
        <w:pStyle w:val="Heading2"/>
      </w:pPr>
      <w:r>
        <w:t xml:space="preserve">3.6 Skills</w:t>
      </w:r>
    </w:p>
    <w:p>
      <w:pPr>
        <w:spacing w:after="120"/>
      </w:pPr>
      <w:r>
        <w:t xml:space="preserve">Skills are the unit of capability — a SKILL.md atom with frontmatter (roles, I/O, risk-tagged actions, context) and a prompt body, plus golden tests. They live in a per-org library (shared free builtins + an org’s own authored or installed skills), are versioned, and can be published to or installed from a cross-org marketplace. Publishing is gated on passing golden tests.</w:t>
      </w:r>
    </w:p>
    <w:p>
      <w:pPr>
        <w:pStyle w:val="Heading2"/>
      </w:pPr>
      <w:r>
        <w:t xml:space="preserve">3.7 Working memory</w:t>
      </w:r>
    </w:p>
    <w:p>
      <w:pPr>
        <w:spacing w:after="120"/>
      </w:pPr>
      <w:r>
        <w:t xml:space="preserve">Each team has working memory: on approval (and especially on correction), a decision is written to a team-scoped store and read back via vector similarity at the next prompt assembly — so corrections compound into recallable team knowledge.</w:t>
      </w:r>
    </w:p>
    <w:p>
      <w:pPr>
        <w:pStyle w:val="Heading1"/>
      </w:pPr>
      <w:r>
        <w:t xml:space="preserve">4. Architecture</w:t>
      </w:r>
    </w:p>
    <w:p>
      <w:pPr>
        <w:spacing w:after="120"/>
      </w:pPr>
      <w:r>
        <w:t xml:space="preserve">TeamUp.AI is a modular monolith with a background worker, on PostgreSQL — deliberately not microservices while the domain and its boundaries are still being proven.</w:t>
      </w:r>
    </w:p>
    <w:p>
      <w:pPr>
        <w:pStyle w:val="ListParagraph"/>
        <w:numPr>
          <w:ilvl w:val="0"/>
          <w:numId w:val="2"/>
        </w:numPr>
        <w:spacing w:after="40"/>
      </w:pPr>
      <w:r>
        <w:rPr>
          <w:b/>
          <w:bCs/>
        </w:rPr>
        <w:t xml:space="preserve">One deployable, internally modular. </w:t>
      </w:r>
      <w:r>
        <w:t xml:space="preserve">Each module is its own assembly; everything but its public contract is internal, so no module can read another module’s tables. Modules collaborate only through SharedKernel interfaces. Architecture tests fail the build on any boundary violation.</w:t>
      </w:r>
    </w:p>
    <w:p>
      <w:pPr>
        <w:pStyle w:val="ListParagraph"/>
        <w:numPr>
          <w:ilvl w:val="0"/>
          <w:numId w:val="2"/>
        </w:numPr>
        <w:spacing w:after="40"/>
      </w:pPr>
      <w:r>
        <w:rPr>
          <w:b/>
          <w:bCs/>
        </w:rPr>
        <w:t xml:space="preserve">The one split: web + worker. </w:t>
      </w:r>
      <w:r>
        <w:t xml:space="preserve">A web/API process and a worker process share the same codebase and the same Postgres database. Agent runs are enqueued on a Postgres-backed job queue and executed in the worker, off the request path. The web tier never sits on the model path.</w:t>
      </w:r>
    </w:p>
    <w:p>
      <w:pPr>
        <w:pStyle w:val="ListParagraph"/>
        <w:numPr>
          <w:ilvl w:val="0"/>
          <w:numId w:val="2"/>
        </w:numPr>
        <w:spacing w:after="40"/>
      </w:pPr>
      <w:r>
        <w:rPr>
          <w:b/>
          <w:bCs/>
        </w:rPr>
        <w:t xml:space="preserve">One store. </w:t>
      </w:r>
      <w:r>
        <w:t xml:space="preserve">PostgreSQL 17 + pgvector holds relational data, the skill index, working-memory embeddings, and the job queue.</w:t>
      </w:r>
    </w:p>
    <w:p>
      <w:pPr>
        <w:pStyle w:val="ListParagraph"/>
        <w:numPr>
          <w:ilvl w:val="0"/>
          <w:numId w:val="2"/>
        </w:numPr>
        <w:spacing w:after="40"/>
      </w:pPr>
      <w:r>
        <w:rPr>
          <w:b/>
          <w:bCs/>
        </w:rPr>
        <w:t xml:space="preserve">Deployment. </w:t>
      </w:r>
      <w:r>
        <w:t xml:space="preserve">A single Docker image run as web or worker via entrypoint, plus Postgres. Self-hostable and air-gappable as one unit (important for the Iranian market); embeddings can run on-device via ONNX when no BYOK key is present.</w:t>
      </w:r>
    </w:p>
    <w:p>
      <w:pPr>
        <w:pStyle w:val="Heading2"/>
      </w:pPr>
      <w:r>
        <w:t xml:space="preserve">4.1 Modules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4360"/>
        <w:gridCol w:w="3300"/>
      </w:tblGrid>
      <w:tr>
        <w:trPr>
          <w:tblHeader/>
        </w:trPr>
        <w:tc>
          <w:tcPr>
            <w:tcW w:type="dxa" w:w="17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Module</w:t>
            </w:r>
          </w:p>
        </w:tc>
        <w:tc>
          <w:tcPr>
            <w:tcW w:type="dxa" w:w="436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Responsibility</w:t>
            </w:r>
          </w:p>
        </w:tc>
        <w:tc>
          <w:tcPr>
            <w:tcW w:type="dxa" w:w="33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Key entities</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Org &amp; Board</w:t>
            </w:r>
          </w:p>
        </w:tc>
        <w:tc>
          <w:tcPr>
            <w:tcW w:type="dxa" w:w="4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Org/divisions/products/teams/seats, the task &amp; board model, agent profiles</w:t>
            </w:r>
          </w:p>
        </w:tc>
        <w:tc>
          <w:tcPr>
            <w:tcW w:type="dxa" w:w="33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Organization, Division, Product, Team, Seat, Agent, AgentProfile, WorkItem</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Identity &amp; Access</w:t>
            </w:r>
          </w:p>
        </w:tc>
        <w:tc>
          <w:tcPr>
            <w:tcW w:type="dxa" w:w="4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Members, memberships, roles, invitations, JWT auth, permission checks</w:t>
            </w:r>
          </w:p>
        </w:tc>
        <w:tc>
          <w:tcPr>
            <w:tcW w:type="dxa" w:w="33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Member, Membership, Invitation</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Skills</w:t>
            </w:r>
          </w:p>
        </w:tc>
        <w:tc>
          <w:tcPr>
            <w:tcW w:type="dxa" w:w="4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Git sync, the queryable atom index, versioning, eval harness, marketplace</w:t>
            </w:r>
          </w:p>
        </w:tc>
        <w:tc>
          <w:tcPr>
            <w:tcW w:type="dxa" w:w="33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Skill, GoldenExample, ManifestAction</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Assembler</w:t>
            </w:r>
          </w:p>
        </w:tc>
        <w:tc>
          <w:tcPr>
            <w:tcW w:type="dxa" w:w="4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Context assembly, model call, output parsing, prompt caching, job queue (worker)</w:t>
            </w:r>
          </w:p>
        </w:tc>
        <w:tc>
          <w:tcPr>
            <w:tcW w:type="dxa" w:w="33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AgentRun, Job</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Governance</w:t>
            </w:r>
          </w:p>
        </w:tc>
        <w:tc>
          <w:tcPr>
            <w:tcW w:type="dxa" w:w="4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Autonomy, the action gate, review inbox, audit log, analytics</w:t>
            </w:r>
          </w:p>
        </w:tc>
        <w:tc>
          <w:tcPr>
            <w:tcW w:type="dxa" w:w="33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ReviewItem, AuditEntry</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Memory</w:t>
            </w:r>
          </w:p>
        </w:tc>
        <w:tc>
          <w:tcPr>
            <w:tcW w:type="dxa" w:w="4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Team-scoped working memory (pgvector), read at assembly / written on approval</w:t>
            </w:r>
          </w:p>
        </w:tc>
        <w:tc>
          <w:tcPr>
            <w:tcW w:type="dxa" w:w="33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MemoryEntry</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Integrations</w:t>
            </w:r>
          </w:p>
        </w:tc>
        <w:tc>
          <w:tcPr>
            <w:tcW w:type="dxa" w:w="43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BYOK API configs, MCP servers, encrypted-credential store</w:t>
            </w:r>
          </w:p>
        </w:tc>
        <w:tc>
          <w:tcPr>
            <w:tcW w:type="dxa" w:w="33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ApiConfig, McpServerConfig</w:t>
            </w:r>
          </w:p>
        </w:tc>
      </w:tr>
    </w:tbl>
    <w:p>
      <w:pPr>
        <w:pStyle w:val="Heading2"/>
      </w:pPr>
      <w:r>
        <w:t xml:space="preserve">4.2 Domain model (core entities)</w:t>
      </w:r>
    </w:p>
    <w:p>
      <w:pPr>
        <w:spacing w:after="120"/>
      </w:pPr>
      <w:r>
        <w:t xml:space="preserve">Tenant fields are present from the start, so multi-tenant is a later switch rather than a migration. Humans and AI share one task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Entity</w:t>
            </w:r>
          </w:p>
        </w:tc>
        <w:tc>
          <w:tcPr>
            <w:tcW w:type="dxa" w:w="676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What it is</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Member / Membership</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An invited human, and that human’s role at a given scope (org/team).</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Team / Seat</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delivery unit and its role-slots; a seat is human, open, or AI.</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Agent</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The configuration of an AI seat: skills, autonomy, model config, docs, MCP, persona.</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WorkItem</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task: type, status, assignee (member|agent), parent, provenance.</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Skill</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Git-indexed atom: key, version, roles, visibility, actions, golden tests, body.</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AgentProfile</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reusable AGENTS.md agent setup (identity + autonomy + skills + persona).</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ApiConfig / McpServerConfig</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BYOK model connection / an MCP tool server — secrets encrypted at rest.</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AgentRun</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One execution of an agent against a task: assembled prompt, output, action+risk, trace.</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ReviewItem</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held action awaiting a human: risk, proposed artifact, decision, edit distance.</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MemoryEntry</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 team working-memory note (approval/correction), embedded for recall.</w:t>
            </w:r>
          </w:p>
        </w:tc>
      </w:tr>
      <w:tr>
        <w:tc>
          <w:tcPr>
            <w:tcW w:type="dxa" w:w="26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AuditEntry</w:t>
            </w:r>
          </w:p>
        </w:tc>
        <w:tc>
          <w:tcPr>
            <w:tcW w:type="dxa" w:w="67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An immutable record of a consequential action.</w:t>
            </w:r>
          </w:p>
        </w:tc>
      </w:tr>
    </w:tbl>
    <w:p>
      <w:pPr>
        <w:pStyle w:val="Heading1"/>
      </w:pPr>
      <w:r>
        <w:t xml:space="preserve">5. API surface</w:t>
      </w:r>
    </w:p>
    <w:p>
      <w:pPr>
        <w:spacing w:after="120"/>
      </w:pPr>
      <w:r>
        <w:t xml:space="preserve">Every mutating endpoint enforces a permission check at the relevant scope. Selected endpoints by module: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7660"/>
      </w:tblGrid>
      <w:tr>
        <w:trPr>
          <w:tblHeader/>
        </w:trPr>
        <w:tc>
          <w:tcPr>
            <w:tcW w:type="dxa" w:w="17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Module</w:t>
            </w:r>
          </w:p>
        </w:tc>
        <w:tc>
          <w:tcPr>
            <w:tcW w:type="dxa" w:w="766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Representative endpoints</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Identity</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POST /bootstrap · POST /auth/login · GET /me · GET/POST /invitations · POST /invitations/accept</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Org &amp; Board</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POST/GET /teams · /divisions · /products · POST /tasks · GET /board · PATCH /tasks/{id}/move|assign · GET /cartable · POST/GET /seats · POST/GET /seats/{id}/agent · GET /performance</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Agent profiles</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GET /agent-profiles · /{key} · /marketplace · POST /upload · /{key}/publish|unpublish|fork · /install</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Skills</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GET /skills · /{key} · /marketplace · POST /authored · /{key}/fork|publish|unpublish · /install · /sync · webhook/gitea</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Integrations</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POST/GET/DELETE /api-configs · /api-configs/{id}/test · POST/GET/DELETE /mcp-servers · /mcp-servers/{id}/test</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Assembler</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POST /runs · GET /runs/{id} · GET /agent-activity</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Governance</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GET /reviews · POST /reviews/{id}/approve|sendback · GET /audit · GET /analytics</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Memory</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GET /memory/search</w:t>
            </w:r>
          </w:p>
        </w:tc>
      </w:tr>
    </w:tbl>
    <w:p>
      <w:pPr>
        <w:pStyle w:val="Heading1"/>
      </w:pPr>
      <w:r>
        <w:t xml:space="preserve">6. Key flows</w:t>
      </w:r>
    </w:p>
    <w:p>
      <w:pPr>
        <w:pStyle w:val="Heading2"/>
      </w:pPr>
      <w:r>
        <w:t xml:space="preserve">6.1 Agent run lifecycle</w:t>
      </w:r>
    </w:p>
    <w:p>
      <w:pPr>
        <w:spacing w:after="120"/>
      </w:pPr>
      <w:r>
        <w:t xml:space="preserve">Assigning a task to an AI seat (or a board trigger) enqueues a job and a Queued AgentRun. The worker drains the queue with FOR UPDATE SKIP LOCKED, then runs the assembler: house style + agent identity/persona + matched skill atoms (by task type and I/O) + permitted docs and code (RAG via pgvector) + team working memory → a cached prompt. It calls the seat’s BYOK model (with fallback), stores the full run and trace, and parses the output into an action with a risk tag. For an autonomous agent with MCP tools, a bounded tool-use loop executes tool calls via the gateway and feeds results back, recording each call in the trace.</w:t>
      </w:r>
    </w:p>
    <w:p>
      <w:pPr>
        <w:pStyle w:val="Heading2"/>
      </w:pPr>
      <w:r>
        <w:t xml:space="preserve">6.2 The action gate</w:t>
      </w:r>
    </w:p>
    <w:p>
      <w:pPr>
        <w:spacing w:after="120"/>
      </w:pPr>
      <w:r>
        <w:t xml:space="preserve">Before anything executes, the gate compares the agent’s autonomy to the action’s risk. Read never holds; draft/publish hold unless the agent is autonomous; destructive always holds. A held action becomes a ReviewItem in the owner’s inbox with its expandable reasoning trace. On approve / edit-and-approve, the internal action executes (the spec/test artifact lands on the board, child tasks are created), the human edit distance is recorded, and an audit entry is written.</w:t>
      </w:r>
    </w:p>
    <w:p>
      <w:pPr>
        <w:pStyle w:val="Heading2"/>
      </w:pPr>
      <w:r>
        <w:t xml:space="preserve">6.3 The PO→QA handoff</w:t>
      </w:r>
    </w:p>
    <w:p>
      <w:pPr>
        <w:spacing w:after="120"/>
      </w:pPr>
      <w:r>
        <w:t xml:space="preserve">When a story hits Done, a handoff creates a QA task for the team’s QA agent with provenance back to the story. The QA agent drafts a test plan that waits in review. Guardrails prevent self-cascade (QA output never re-triggers QA) and cap handoffs (at most one per task), so the loop cannot storm.</w:t>
      </w:r>
    </w:p>
    <w:p>
      <w:pPr>
        <w:pStyle w:val="Heading2"/>
      </w:pPr>
      <w:r>
        <w:t xml:space="preserve">6.4 BYOK &amp; secrets</w:t>
      </w:r>
    </w:p>
    <w:p>
      <w:pPr>
        <w:spacing w:after="120"/>
      </w:pPr>
      <w:r>
        <w:t xml:space="preserve">Model keys and MCP auth headers are owner-only, encrypted at rest (AES-GCM via the platform data-protection key), used server-side only, and never returned to any client after save. Team owners assign a connection from a list; they never see the key. The OpenAI-compatible adapter accepts a base URL or a full chat-completions URL.</w:t>
      </w:r>
    </w:p>
    <w:p>
      <w:pPr>
        <w:pStyle w:val="Heading2"/>
      </w:pPr>
      <w:r>
        <w:t xml:space="preserve">6.5 Skill publish gate</w:t>
      </w:r>
    </w:p>
    <w:p>
      <w:pPr>
        <w:spacing w:after="120"/>
      </w:pPr>
      <w:r>
        <w:t xml:space="preserve">A skill must have at least one role and pass its golden tests to reach Published status; only Published skills run and only Published skills can be listed on the marketplace. Re-authoring a skill without tests downgrades it back to Draft.</w:t>
      </w:r>
    </w:p>
    <w:p>
      <w:pPr>
        <w:pStyle w:val="Heading1"/>
      </w:pPr>
      <w:r>
        <w:t xml:space="preserve">7. Security &amp; governance non-negotiables</w:t>
      </w:r>
    </w:p>
    <w:p>
      <w:pPr>
        <w:pStyle w:val="ListParagraph"/>
        <w:numPr>
          <w:ilvl w:val="0"/>
          <w:numId w:val="3"/>
        </w:numPr>
        <w:spacing w:after="40"/>
      </w:pPr>
      <w:r>
        <w:t xml:space="preserve">Keep the monolith modular — never read another module’s tables; collaborate through interfaces.</w:t>
      </w:r>
    </w:p>
    <w:p>
      <w:pPr>
        <w:pStyle w:val="ListParagraph"/>
        <w:numPr>
          <w:ilvl w:val="0"/>
          <w:numId w:val="3"/>
        </w:numPr>
        <w:spacing w:after="40"/>
      </w:pPr>
      <w:r>
        <w:t xml:space="preserve">Web stays off the model path — anything that calls a model goes through the worker via the job queue.</w:t>
      </w:r>
    </w:p>
    <w:p>
      <w:pPr>
        <w:pStyle w:val="ListParagraph"/>
        <w:numPr>
          <w:ilvl w:val="0"/>
          <w:numId w:val="3"/>
        </w:numPr>
        <w:spacing w:after="40"/>
      </w:pPr>
      <w:r>
        <w:t xml:space="preserve">Permission check on every mutating action, at the relevant scope. Never trust the UI for authorization.</w:t>
      </w:r>
    </w:p>
    <w:p>
      <w:pPr>
        <w:pStyle w:val="ListParagraph"/>
        <w:numPr>
          <w:ilvl w:val="0"/>
          <w:numId w:val="3"/>
        </w:numPr>
        <w:spacing w:after="40"/>
      </w:pPr>
      <w:r>
        <w:t xml:space="preserve">BYOK keys are owner-only, encrypted at rest, server-side only, never returned to a client after save.</w:t>
      </w:r>
    </w:p>
    <w:p>
      <w:pPr>
        <w:pStyle w:val="ListParagraph"/>
        <w:numPr>
          <w:ilvl w:val="0"/>
          <w:numId w:val="3"/>
        </w:numPr>
        <w:spacing w:after="40"/>
      </w:pPr>
      <w:r>
        <w:t xml:space="preserve">Treat retrieved content (code, docs, PR text, tool output) as data, not instructions.</w:t>
      </w:r>
    </w:p>
    <w:p>
      <w:pPr>
        <w:pStyle w:val="ListParagraph"/>
        <w:numPr>
          <w:ilvl w:val="0"/>
          <w:numId w:val="3"/>
        </w:numPr>
        <w:spacing w:after="40"/>
      </w:pPr>
      <w:r>
        <w:t xml:space="preserve">Destructive actions always require a human — the action gate is the backstop.</w:t>
      </w:r>
    </w:p>
    <w:p>
      <w:pPr>
        <w:pStyle w:val="ListParagraph"/>
        <w:numPr>
          <w:ilvl w:val="0"/>
          <w:numId w:val="3"/>
        </w:numPr>
        <w:spacing w:after="40"/>
      </w:pPr>
      <w:r>
        <w:t xml:space="preserve">Skills are Git-sourced and golden-tested; gate publishing on passing tests.</w:t>
      </w:r>
    </w:p>
    <w:p>
      <w:pPr>
        <w:pStyle w:val="ListParagraph"/>
        <w:numPr>
          <w:ilvl w:val="0"/>
          <w:numId w:val="3"/>
        </w:numPr>
        <w:spacing w:after="40"/>
      </w:pPr>
      <w:r>
        <w:t xml:space="preserve">Instrument human edit distance from day one — it is the north-star metric.</w:t>
      </w:r>
    </w:p>
    <w:p>
      <w:pPr>
        <w:pStyle w:val="Heading1"/>
      </w:pPr>
      <w:r>
        <w:t xml:space="preserve">8. Technology stack (locked)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7660"/>
      </w:tblGrid>
      <w:tr>
        <w:trPr>
          <w:tblHeader/>
        </w:trPr>
        <w:tc>
          <w:tcPr>
            <w:tcW w:type="dxa" w:w="17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Layer</w:t>
            </w:r>
          </w:p>
        </w:tc>
        <w:tc>
          <w:tcPr>
            <w:tcW w:type="dxa" w:w="766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Choice</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Backend</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.NET 10 (LTS) + ASP.NET Core Minimal APIs; modular monolith; web + worker Generic-Host entrypoints</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Data</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PostgreSQL 17 + pgvector; EF Core 10 + Npgsql; Pgvector.EntityFrameworkCore; EF migrations</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Agent-run queue</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Postgres jobs table drained with FOR UPDATE SKIP LOCKED by a worker BackgroundService</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AI layer</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Microsoft.Extensions.AI seam + thin per-provider HTTP adapters; Polly resilience; ONNX embeddings air-gapped, provider embeddings when BYOK present</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Cross-cutting</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ASP.NET Identity + JWT; AES-GCM secret protection; FluentValidation; Mapperly; OpenTelemetry + Serilog</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Frontend</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React 19 + Vite + TypeScript SPA into wwwroot; React Router; TanStack Query; Zustand; shadcn/ui + Tailwind; React Flow; dnd-kit; react-markdown</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Git</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Gitea (read-only in V1) via a provider-agnostic adapter</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Testing</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xUnit; Testcontainers (real Postgres); Verify for golden/snapshot tests</w:t>
            </w:r>
          </w:p>
        </w:tc>
      </w:tr>
      <w:tr>
        <w:tc>
          <w:tcPr>
            <w:tcW w:type="dxa" w:w="17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Deploy</w:t>
            </w:r>
          </w:p>
        </w:tc>
        <w:tc>
          <w:tcPr>
            <w:tcW w:type="dxa" w:w="76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One Docker image (web or worker) + Postgres; Kubernetes for prod; air-gappable single unit</w:t>
            </w:r>
          </w:p>
        </w:tc>
      </w:tr>
    </w:tbl>
    <w:p>
      <w:pPr>
        <w:pStyle w:val="Heading1"/>
      </w:pPr>
      <w:r>
        <w:t xml:space="preserve">9. Current status</w:t>
      </w:r>
    </w:p>
    <w:p>
      <w:pPr>
        <w:pStyle w:val="Heading2"/>
      </w:pPr>
      <w:r>
        <w:t xml:space="preserve">9.1 V1 milestones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160"/>
        <w:gridCol w:w="2000"/>
      </w:tblGrid>
      <w:tr>
        <w:trPr>
          <w:tblHeader/>
        </w:trPr>
        <w:tc>
          <w:tcPr>
            <w:tcW w:type="dxa" w:w="12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Milestone</w:t>
            </w:r>
          </w:p>
        </w:tc>
        <w:tc>
          <w:tcPr>
            <w:tcW w:type="dxa" w:w="616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Scope</w:t>
            </w:r>
          </w:p>
        </w:tc>
        <w:tc>
          <w:tcPr>
            <w:tcW w:type="dxa" w:w="2000"/>
            <w:tcBorders>
              <w:top w:val="single" w:color="CCCCCC" w:sz="1"/>
              <w:left w:val="single" w:color="CCCCCC" w:sz="1"/>
              <w:bottom w:val="single" w:color="CCCCCC" w:sz="1"/>
              <w:right w:val="single" w:color="CCCCCC" w:sz="1"/>
            </w:tcBorders>
            <w:shd w:fill="EEF0FF" w:val="clear"/>
            <w:tcMar>
              <w:top w:type="dxa" w:w="60"/>
              <w:left w:type="dxa" w:w="110"/>
              <w:bottom w:type="dxa" w:w="60"/>
              <w:right w:type="dxa" w:w="110"/>
            </w:tcMar>
          </w:tcPr>
          <w:p>
            <w:r>
              <w:rPr>
                <w:b/>
                <w:bCs/>
                <w:sz w:val="20"/>
                <w:szCs w:val="20"/>
              </w:rPr>
              <w:t xml:space="preserve">Status</w:t>
            </w:r>
          </w:p>
        </w:tc>
      </w:tr>
      <w:tr>
        <w:tc>
          <w:tcPr>
            <w:tcW w:type="dxa" w:w="12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M1</w:t>
            </w:r>
          </w:p>
        </w:tc>
        <w:tc>
          <w:tcPr>
            <w:tcW w:type="dxa" w:w="61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Org, board, access &amp; cartable</w:t>
            </w:r>
          </w:p>
        </w:tc>
        <w:tc>
          <w:tcPr>
            <w:tcW w:type="dxa" w:w="2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Complete &amp; verified</w:t>
            </w:r>
          </w:p>
        </w:tc>
      </w:tr>
      <w:tr>
        <w:tc>
          <w:tcPr>
            <w:tcW w:type="dxa" w:w="12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M2</w:t>
            </w:r>
          </w:p>
        </w:tc>
        <w:tc>
          <w:tcPr>
            <w:tcW w:type="dxa" w:w="61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Skill registry + four atoms + eval/publish gate</w:t>
            </w:r>
          </w:p>
        </w:tc>
        <w:tc>
          <w:tcPr>
            <w:tcW w:type="dxa" w:w="2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Complete</w:t>
            </w:r>
          </w:p>
        </w:tc>
      </w:tr>
      <w:tr>
        <w:tc>
          <w:tcPr>
            <w:tcW w:type="dxa" w:w="12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M3</w:t>
            </w:r>
          </w:p>
        </w:tc>
        <w:tc>
          <w:tcPr>
            <w:tcW w:type="dxa" w:w="61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Seat config + BYOK</w:t>
            </w:r>
          </w:p>
        </w:tc>
        <w:tc>
          <w:tcPr>
            <w:tcW w:type="dxa" w:w="2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Complete</w:t>
            </w:r>
          </w:p>
        </w:tc>
      </w:tr>
      <w:tr>
        <w:tc>
          <w:tcPr>
            <w:tcW w:type="dxa" w:w="12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M4</w:t>
            </w:r>
          </w:p>
        </w:tc>
        <w:tc>
          <w:tcPr>
            <w:tcW w:type="dxa" w:w="61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Assembler + worker (assemble → model → parse)</w:t>
            </w:r>
          </w:p>
        </w:tc>
        <w:tc>
          <w:tcPr>
            <w:tcW w:type="dxa" w:w="2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Complete</w:t>
            </w:r>
          </w:p>
        </w:tc>
      </w:tr>
      <w:tr>
        <w:tc>
          <w:tcPr>
            <w:tcW w:type="dxa" w:w="12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M5</w:t>
            </w:r>
          </w:p>
        </w:tc>
        <w:tc>
          <w:tcPr>
            <w:tcW w:type="dxa" w:w="61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Action gate + review inbox + edit distance</w:t>
            </w:r>
          </w:p>
        </w:tc>
        <w:tc>
          <w:tcPr>
            <w:tcW w:type="dxa" w:w="2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Complete</w:t>
            </w:r>
          </w:p>
        </w:tc>
      </w:tr>
      <w:tr>
        <w:tc>
          <w:tcPr>
            <w:tcW w:type="dxa" w:w="12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M6</w:t>
            </w:r>
          </w:p>
        </w:tc>
        <w:tc>
          <w:tcPr>
            <w:tcW w:type="dxa" w:w="616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Working memory + PO→QA trigger + analytics</w:t>
            </w:r>
          </w:p>
        </w:tc>
        <w:tc>
          <w:tcPr>
            <w:tcW w:type="dxa" w:w="2000"/>
            <w:tcBorders>
              <w:top w:val="single" w:color="CCCCCC" w:sz="1"/>
              <w:left w:val="single" w:color="CCCCCC" w:sz="1"/>
              <w:bottom w:val="single" w:color="CCCCCC" w:sz="1"/>
              <w:right w:val="single" w:color="CCCCCC" w:sz="1"/>
            </w:tcBorders>
            <w:tcMar>
              <w:top w:type="dxa" w:w="60"/>
              <w:left w:type="dxa" w:w="110"/>
              <w:bottom w:type="dxa" w:w="60"/>
              <w:right w:type="dxa" w:w="110"/>
            </w:tcMar>
          </w:tcPr>
          <w:p>
            <w:r>
              <w:rPr>
                <w:b w:val="false"/>
                <w:bCs w:val="false"/>
                <w:sz w:val="20"/>
                <w:szCs w:val="20"/>
              </w:rPr>
              <w:t xml:space="preserve">Complete</w:t>
            </w:r>
          </w:p>
        </w:tc>
      </w:tr>
    </w:tbl>
    <w:p>
      <w:pPr>
        <w:pStyle w:val="Heading2"/>
      </w:pPr>
      <w:r>
        <w:t xml:space="preserve">9.2 Shipped beyond V1</w:t>
      </w:r>
    </w:p>
    <w:p>
      <w:pPr>
        <w:pStyle w:val="ListParagraph"/>
        <w:numPr>
          <w:ilvl w:val="0"/>
          <w:numId w:val="2"/>
        </w:numPr>
        <w:spacing w:after="40"/>
      </w:pPr>
      <w:r>
        <w:t xml:space="preserve">Any seat can be AI-staffed (engineer/designer/analyst atoms + role-aware seat suggestions).</w:t>
      </w:r>
    </w:p>
    <w:p>
      <w:pPr>
        <w:pStyle w:val="ListParagraph"/>
        <w:numPr>
          <w:ilvl w:val="0"/>
          <w:numId w:val="2"/>
        </w:numPr>
        <w:spacing w:after="40"/>
      </w:pPr>
      <w:r>
        <w:t xml:space="preserve">Full org structure: divisions → products/services → teams; custom model base URL.</w:t>
      </w:r>
    </w:p>
    <w:p>
      <w:pPr>
        <w:pStyle w:val="ListParagraph"/>
        <w:numPr>
          <w:ilvl w:val="0"/>
          <w:numId w:val="2"/>
        </w:numPr>
        <w:spacing w:after="40"/>
      </w:pPr>
      <w:r>
        <w:t xml:space="preserve">Dynamic per-org skill library (in-app authoring, versioning, fork) + cross-org marketplace.</w:t>
      </w:r>
    </w:p>
    <w:p>
      <w:pPr>
        <w:pStyle w:val="ListParagraph"/>
        <w:numPr>
          <w:ilvl w:val="0"/>
          <w:numId w:val="2"/>
        </w:numPr>
        <w:spacing w:after="40"/>
      </w:pPr>
      <w:r>
        <w:t xml:space="preserve">MCP compatibility: server registry, JSON-RPC client, gateway, run-time tool catalog, and a bounded tool-use loop for autonomous agents.</w:t>
      </w:r>
    </w:p>
    <w:p>
      <w:pPr>
        <w:pStyle w:val="ListParagraph"/>
        <w:numPr>
          <w:ilvl w:val="0"/>
          <w:numId w:val="2"/>
        </w:numPr>
        <w:spacing w:after="40"/>
      </w:pPr>
      <w:r>
        <w:t xml:space="preserve">Agent profiles (AGENTS.md): per-org library, free builtins, versioning, marketplace, persona; apply-to-seat.</w:t>
      </w:r>
    </w:p>
    <w:p>
      <w:pPr>
        <w:pStyle w:val="ListParagraph"/>
        <w:numPr>
          <w:ilvl w:val="0"/>
          <w:numId w:val="2"/>
        </w:numPr>
        <w:spacing w:after="40"/>
      </w:pPr>
      <w:r>
        <w:t xml:space="preserve">Animated agent identity driven by live run state; in-app Markdown Edit/Preview authoring and a read-only .md viewer.</w:t>
      </w:r>
    </w:p>
    <w:p>
      <w:pPr>
        <w:pStyle w:val="Heading2"/>
      </w:pPr>
      <w:r>
        <w:t xml:space="preserve">9.3 Test coverage</w:t>
      </w:r>
    </w:p>
    <w:p>
      <w:pPr>
        <w:spacing w:after="120"/>
      </w:pPr>
      <w:r>
        <w:t xml:space="preserve">27 integration suites (real Postgres via Testcontainers) cover identity/RBAC, board/cartable, org structure, seat config, BYOK, MCP, skills (registry, library, marketplace, eval, scoping), assembler/queue, the gate matrix, the review flow, the two-role loop with memory and analytics, and boot/migrate. Two architecture suites enforce module boundaries and persistence encapsulation. Every milestone’s acceptance criteria are met in code.</w:t>
      </w:r>
    </w:p>
    <w:p>
      <w:pPr>
        <w:pStyle w:val="Heading1"/>
      </w:pPr>
      <w:r>
        <w:t xml:space="preserve">10. Remaining for MVP &amp; test hardening</w:t>
      </w:r>
    </w:p>
    <w:p>
      <w:pPr>
        <w:spacing w:after="120"/>
      </w:pPr>
      <w:r>
        <w:t xml:space="preserve">The acceptance criteria are met; the remaining work is hardening before wide testing. Ranked:</w:t>
      </w:r>
    </w:p>
    <w:p>
      <w:pPr>
        <w:pStyle w:val="Heading2"/>
      </w:pPr>
      <w:r>
        <w:t xml:space="preserve">10.1 Test hardening (negative paths)</w:t>
      </w:r>
    </w:p>
    <w:p>
      <w:pPr>
        <w:pStyle w:val="ListParagraph"/>
        <w:numPr>
          <w:ilvl w:val="0"/>
          <w:numId w:val="2"/>
        </w:numPr>
        <w:spacing w:after="40"/>
      </w:pPr>
      <w:r>
        <w:t xml:space="preserve">Permission negatives: task move/assign authorization; team-owner review scope (own team only); who may trigger the handoff.</w:t>
      </w:r>
    </w:p>
    <w:p>
      <w:pPr>
        <w:pStyle w:val="ListParagraph"/>
        <w:numPr>
          <w:ilvl w:val="0"/>
          <w:numId w:val="2"/>
        </w:numPr>
        <w:spacing w:after="40"/>
      </w:pPr>
      <w:r>
        <w:t xml:space="preserve">BYOK key must never appear in error messages, logs, or the audit trail (untested path).</w:t>
      </w:r>
    </w:p>
    <w:p>
      <w:pPr>
        <w:pStyle w:val="ListParagraph"/>
        <w:numPr>
          <w:ilvl w:val="0"/>
          <w:numId w:val="2"/>
        </w:numPr>
        <w:spacing w:after="40"/>
      </w:pPr>
      <w:r>
        <w:t xml:space="preserve">Working-memory cross-team isolation; the per-seat fallback model config (never exercised).</w:t>
      </w:r>
    </w:p>
    <w:p>
      <w:pPr>
        <w:pStyle w:val="ListParagraph"/>
        <w:numPr>
          <w:ilvl w:val="0"/>
          <w:numId w:val="2"/>
        </w:numPr>
        <w:spacing w:after="40"/>
      </w:pPr>
      <w:r>
        <w:t xml:space="preserve">Send-back edit-distance semantics; handoff task-type guardrail (a Test hitting Done must not re-trigger).</w:t>
      </w:r>
    </w:p>
    <w:p>
      <w:pPr>
        <w:pStyle w:val="Heading2"/>
      </w:pPr>
      <w:r>
        <w:t xml:space="preserve">10.2 UX</w:t>
      </w:r>
    </w:p>
    <w:p>
      <w:pPr>
        <w:pStyle w:val="ListParagraph"/>
        <w:numPr>
          <w:ilvl w:val="0"/>
          <w:numId w:val="2"/>
        </w:numPr>
        <w:spacing w:after="40"/>
      </w:pPr>
      <w:r>
        <w:t xml:space="preserve">A guided first-run flow after bootstrap (create team → staff seats → assign work), empty-state guidance, and form validation on the seat/agent setup.</w:t>
      </w:r>
    </w:p>
    <w:p>
      <w:pPr>
        <w:pStyle w:val="ListParagraph"/>
        <w:numPr>
          <w:ilvl w:val="0"/>
          <w:numId w:val="2"/>
        </w:numPr>
        <w:spacing w:after="40"/>
      </w:pPr>
      <w:r>
        <w:t xml:space="preserve">Make send-back consequences and the reasoning-trace toggle more discoverable in the review inbox.</w:t>
      </w:r>
    </w:p>
    <w:p>
      <w:pPr>
        <w:pStyle w:val="Heading2"/>
      </w:pPr>
      <w:r>
        <w:t xml:space="preserve">10.3 Refactor backlog</w:t>
      </w:r>
    </w:p>
    <w:p>
      <w:pPr>
        <w:pStyle w:val="ListParagraph"/>
        <w:numPr>
          <w:ilvl w:val="0"/>
          <w:numId w:val="2"/>
        </w:numPr>
        <w:spacing w:after="40"/>
      </w:pPr>
      <w:r>
        <w:t xml:space="preserve">Frontend: shared Pick / SegBtn / Field components and a generic VersionedLibraryCard; share the frontmatter→markdown reconstruction.</w:t>
      </w:r>
    </w:p>
    <w:p>
      <w:pPr>
        <w:pStyle w:val="ListParagraph"/>
        <w:numPr>
          <w:ilvl w:val="0"/>
          <w:numId w:val="2"/>
        </w:numPr>
        <w:spacing w:after="40"/>
      </w:pPr>
      <w:r>
        <w:t xml:space="preserve">Backend: one SharedKernel FrontmatterParser and one CatalogResolver (the published&gt;org&gt;version resolution rule currently exists in three places).</w:t>
      </w:r>
    </w:p>
    <w:p>
      <w:pPr>
        <w:pStyle w:val="Heading1"/>
      </w:pPr>
      <w:r>
        <w:t xml:space="preserve">11. Roadmap — deferred (architected for, not built)</w:t>
      </w:r>
    </w:p>
    <w:p>
      <w:pPr>
        <w:spacing w:after="120"/>
      </w:pPr>
      <w:r>
        <w:t xml:space="preserve">All of the following are accommodated by the data model and module seams; none is built in V1:</w:t>
      </w:r>
    </w:p>
    <w:p>
      <w:pPr>
        <w:pStyle w:val="ListParagraph"/>
        <w:numPr>
          <w:ilvl w:val="0"/>
          <w:numId w:val="2"/>
        </w:numPr>
        <w:spacing w:after="40"/>
      </w:pPr>
      <w:r>
        <w:t xml:space="preserve">Divisions UI and the full set of non-engineering roles; multiple products and multi-tenant billing.</w:t>
      </w:r>
    </w:p>
    <w:p>
      <w:pPr>
        <w:pStyle w:val="ListParagraph"/>
        <w:numPr>
          <w:ilvl w:val="0"/>
          <w:numId w:val="2"/>
        </w:numPr>
        <w:spacing w:after="40"/>
      </w:pPr>
      <w:r>
        <w:t xml:space="preserve">Per-agent MCP tool actions with write-back and Git write access; episodic/semantic memory beyond team working memory.</w:t>
      </w:r>
    </w:p>
    <w:p>
      <w:pPr>
        <w:pStyle w:val="ListParagraph"/>
        <w:numPr>
          <w:ilvl w:val="0"/>
          <w:numId w:val="2"/>
        </w:numPr>
        <w:spacing w:after="40"/>
      </w:pPr>
      <w:r>
        <w:t xml:space="preserve">The gap finder; a skill studio / template builder; tier enforcement and AI skill-suggestion (data hooks only today).</w:t>
      </w:r>
    </w:p>
    <w:p>
      <w:pPr>
        <w:pStyle w:val="ListParagraph"/>
        <w:numPr>
          <w:ilvl w:val="0"/>
          <w:numId w:val="2"/>
        </w:numPr>
        <w:spacing w:after="40"/>
      </w:pPr>
      <w:r>
        <w:t xml:space="preserve">A custom TeamUp model; SSO/SCIM; an event mesh beyond the single PO→QA trigger.</w:t>
      </w:r>
    </w:p>
    <w:p>
      <w:pPr>
        <w:spacing w:after="80"/>
      </w:pPr>
    </w:p>
    <w:p>
      <w:pPr>
        <w:spacing w:after="120"/>
      </w:pPr>
      <w:r>
        <w:rPr>
          <w:b/>
          <w:bCs/>
        </w:rPr>
        <w:t xml:space="preserve">Definition of done for V1: </w:t>
      </w:r>
      <w:r>
        <w:t xml:space="preserve">the PO and QA loops run inside AliaSaaS on one real product, governed through the board and review inbox, on AliaSaaS’s own model keys — and the analytics show human edit distance low and falling over a sprint or two. That result, or its absence, is the decision V1 exists to produce.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999999"/>
        <w:sz w:val="16"/>
        <w:szCs w:val="16"/>
      </w:rPr>
      <w:t xml:space="preserve">Internal · AliaSaaS</w:t>
    </w:r>
    <w:r>
      <w:rPr>
        <w:sz w:val="16"/>
        <w:szCs w:val="16"/>
      </w:rPr>
      <w:t xml:space="preserve">	</w:t>
    </w:r>
    <w:r>
      <w:rPr>
        <w:color w:val="999999"/>
        <w:sz w:val="16"/>
        <w:szCs w:val="16"/>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99999"/>
        <w:sz w:val="16"/>
        <w:szCs w:val="16"/>
      </w:rPr>
      <w:t xml:space="preserve">TeamUp.AI — Solution &amp; Technical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lvl w:ilvl="1" w15:tentative="1">
      <w:start w:val="1"/>
      <w:numFmt w:val="bullet"/>
      <w:lvlText w:val="◦"/>
      <w:lvlJc w:val="left"/>
      <w:pPr>
        <w:ind w:left="920" w:hanging="260"/>
      </w:pPr>
    </w:lvl>
  </w:abstractNum>
  <w:abstractNum w:abstractNumId="3" w15:restartNumberingAfterBreak="0">
    <w:multiLevelType w:val="hybridMultilevel"/>
    <w:lvl w:ilvl="0" w15:tentative="1">
      <w:start w:val="1"/>
      <w:numFmt w:val="decimal"/>
      <w:lvlText w:val="%1."/>
      <w:lvlJc w:val="left"/>
      <w:pPr>
        <w:ind w:left="46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4F46E5"/>
      <w:sz w:val="30"/>
      <w:szCs w:val="30"/>
    </w:rPr>
  </w:style>
  <w:style w:type="paragraph" w:styleId="Heading2">
    <w:name w:val="Heading 2"/>
    <w:basedOn w:val="Normal"/>
    <w:next w:val="Normal"/>
    <w:qFormat/>
    <w:pPr>
      <w:spacing w:after="100" w:before="200"/>
      <w:outlineLvl w:val="1"/>
    </w:pPr>
    <w:rPr>
      <w:rFonts w:ascii="Arial" w:cs="Arial" w:eastAsia="Arial" w:hAnsi="Arial"/>
      <w:b/>
      <w:bCs/>
      <w:color w:val="1F2937"/>
      <w:sz w:val="25"/>
      <w:szCs w:val="25"/>
    </w:rPr>
  </w:style>
  <w:style w:type="paragraph" w:styleId="Heading3">
    <w:name w:val="Heading 3"/>
    <w:basedOn w:val="Normal"/>
    <w:next w:val="Normal"/>
    <w:qFormat/>
    <w:pPr>
      <w:spacing w:after="80" w:before="140"/>
      <w:outlineLvl w:val="2"/>
    </w:pPr>
    <w:rPr>
      <w:rFonts w:ascii="Arial" w:cs="Arial" w:eastAsia="Arial" w:hAnsi="Arial"/>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TeamUp.AI — Solution &amp; Technical Specification</dc:title>
  <dc:creator>TeamUp.AI</dc:creator>
  <cp:lastModifiedBy>Un-named</cp:lastModifiedBy>
  <cp:revision>1</cp:revision>
  <dcterms:created xsi:type="dcterms:W3CDTF">2026-06-15T13:13:42.361Z</dcterms:created>
  <dcterms:modified xsi:type="dcterms:W3CDTF">2026-06-15T13:13:42.362Z</dcterms:modified>
</cp:coreProperties>
</file>

<file path=docProps/custom.xml><?xml version="1.0" encoding="utf-8"?>
<Properties xmlns="http://schemas.openxmlformats.org/officeDocument/2006/custom-properties" xmlns:vt="http://schemas.openxmlformats.org/officeDocument/2006/docPropsVTypes"/>
</file>